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FDCD7">
      <w:pPr>
        <w:spacing w:line="360" w:lineRule="auto"/>
        <w:jc w:val="center"/>
        <w:outlineLvl w:val="0"/>
        <w:rPr>
          <w:b/>
          <w:sz w:val="36"/>
          <w:szCs w:val="36"/>
        </w:rPr>
      </w:pPr>
      <w:bookmarkStart w:id="0" w:name="_Toc99301424"/>
      <w:r>
        <w:rPr>
          <w:b/>
          <w:sz w:val="36"/>
          <w:szCs w:val="36"/>
        </w:rPr>
        <w:t>第五章   采购需求</w:t>
      </w:r>
      <w:bookmarkEnd w:id="0"/>
    </w:p>
    <w:p w14:paraId="38A22A7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Cs/>
          <w:kern w:val="0"/>
          <w:szCs w:val="21"/>
        </w:rPr>
      </w:pPr>
      <w:r>
        <w:rPr>
          <w:rFonts w:hint="eastAsia" w:ascii="宋体" w:hAnsi="宋体" w:eastAsia="宋体" w:cs="宋体"/>
          <w:b w:val="0"/>
          <w:bCs/>
          <w:kern w:val="0"/>
          <w:sz w:val="21"/>
          <w:szCs w:val="21"/>
          <w:lang w:eastAsia="zh-CN"/>
        </w:rPr>
        <w:t>一、采购标的</w:t>
      </w:r>
    </w:p>
    <w:tbl>
      <w:tblPr>
        <w:tblStyle w:val="3"/>
        <w:tblpPr w:leftFromText="180" w:rightFromText="180" w:vertAnchor="text" w:horzAnchor="page" w:tblpX="1795" w:tblpY="3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464"/>
        <w:gridCol w:w="1421"/>
        <w:gridCol w:w="2571"/>
      </w:tblGrid>
      <w:tr w14:paraId="5873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6504D46E">
            <w:pPr>
              <w:rPr>
                <w:rFonts w:hint="eastAsia"/>
                <w:vertAlign w:val="baseline"/>
                <w:lang w:val="en-US" w:eastAsia="zh-CN"/>
              </w:rPr>
            </w:pPr>
            <w:r>
              <w:rPr>
                <w:rFonts w:hint="eastAsia"/>
                <w:vertAlign w:val="baseline"/>
                <w:lang w:val="en-US" w:eastAsia="zh-CN"/>
              </w:rPr>
              <w:t>序号</w:t>
            </w:r>
          </w:p>
        </w:tc>
        <w:tc>
          <w:tcPr>
            <w:tcW w:w="4464" w:type="dxa"/>
            <w:noWrap w:val="0"/>
            <w:vAlign w:val="top"/>
          </w:tcPr>
          <w:p w14:paraId="4B91B253">
            <w:pPr>
              <w:rPr>
                <w:rFonts w:hint="eastAsia"/>
                <w:vertAlign w:val="baseline"/>
                <w:lang w:val="en-US" w:eastAsia="zh-CN"/>
              </w:rPr>
            </w:pPr>
            <w:r>
              <w:rPr>
                <w:rFonts w:hint="eastAsia"/>
                <w:vertAlign w:val="baseline"/>
                <w:lang w:val="en-US" w:eastAsia="zh-CN"/>
              </w:rPr>
              <w:t>服务名称</w:t>
            </w:r>
          </w:p>
        </w:tc>
        <w:tc>
          <w:tcPr>
            <w:tcW w:w="1421" w:type="dxa"/>
            <w:noWrap w:val="0"/>
            <w:vAlign w:val="top"/>
          </w:tcPr>
          <w:p w14:paraId="7792968E">
            <w:pPr>
              <w:rPr>
                <w:rFonts w:hint="eastAsia"/>
                <w:vertAlign w:val="baseline"/>
                <w:lang w:val="en-US" w:eastAsia="zh-CN"/>
              </w:rPr>
            </w:pPr>
            <w:r>
              <w:rPr>
                <w:rFonts w:hint="eastAsia"/>
                <w:vertAlign w:val="baseline"/>
                <w:lang w:val="en-US" w:eastAsia="zh-CN"/>
              </w:rPr>
              <w:t>数量</w:t>
            </w:r>
          </w:p>
        </w:tc>
        <w:tc>
          <w:tcPr>
            <w:tcW w:w="2571" w:type="dxa"/>
            <w:noWrap w:val="0"/>
            <w:vAlign w:val="top"/>
          </w:tcPr>
          <w:p w14:paraId="69C9A024">
            <w:pPr>
              <w:rPr>
                <w:rFonts w:hint="eastAsia"/>
                <w:vertAlign w:val="baseline"/>
                <w:lang w:val="en-US" w:eastAsia="zh-CN"/>
              </w:rPr>
            </w:pPr>
            <w:r>
              <w:rPr>
                <w:rFonts w:hint="eastAsia"/>
                <w:vertAlign w:val="baseline"/>
                <w:lang w:val="en-US" w:eastAsia="zh-CN"/>
              </w:rPr>
              <w:t>单位</w:t>
            </w:r>
          </w:p>
        </w:tc>
      </w:tr>
      <w:tr w14:paraId="14C1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8" w:type="dxa"/>
            <w:noWrap w:val="0"/>
            <w:vAlign w:val="top"/>
          </w:tcPr>
          <w:p w14:paraId="61FB55DB">
            <w:pPr>
              <w:rPr>
                <w:rFonts w:hint="default"/>
                <w:vertAlign w:val="baseline"/>
                <w:lang w:val="en-US" w:eastAsia="zh-CN"/>
              </w:rPr>
            </w:pPr>
            <w:r>
              <w:rPr>
                <w:rFonts w:hint="eastAsia"/>
                <w:vertAlign w:val="baseline"/>
                <w:lang w:val="en-US" w:eastAsia="zh-CN"/>
              </w:rPr>
              <w:t>1</w:t>
            </w:r>
          </w:p>
        </w:tc>
        <w:tc>
          <w:tcPr>
            <w:tcW w:w="4464" w:type="dxa"/>
            <w:noWrap w:val="0"/>
            <w:vAlign w:val="top"/>
          </w:tcPr>
          <w:p w14:paraId="578F91B4">
            <w:pPr>
              <w:rPr>
                <w:rFonts w:hint="eastAsia"/>
                <w:vertAlign w:val="baseline"/>
                <w:lang w:val="en-US" w:eastAsia="zh-CN"/>
              </w:rPr>
            </w:pPr>
            <w:r>
              <w:rPr>
                <w:rFonts w:hint="eastAsia"/>
              </w:rPr>
              <w:t>2026年北京急救中心救护车燃油服务项目</w:t>
            </w:r>
          </w:p>
        </w:tc>
        <w:tc>
          <w:tcPr>
            <w:tcW w:w="1421" w:type="dxa"/>
            <w:noWrap w:val="0"/>
            <w:vAlign w:val="top"/>
          </w:tcPr>
          <w:p w14:paraId="303ADC33">
            <w:pPr>
              <w:rPr>
                <w:rFonts w:hint="default"/>
                <w:vertAlign w:val="baseline"/>
                <w:lang w:val="en-US" w:eastAsia="zh-CN"/>
              </w:rPr>
            </w:pPr>
            <w:r>
              <w:rPr>
                <w:rFonts w:hint="eastAsia"/>
                <w:vertAlign w:val="baseline"/>
                <w:lang w:val="en-US" w:eastAsia="zh-CN"/>
              </w:rPr>
              <w:t>1</w:t>
            </w:r>
          </w:p>
        </w:tc>
        <w:tc>
          <w:tcPr>
            <w:tcW w:w="2571" w:type="dxa"/>
            <w:noWrap w:val="0"/>
            <w:vAlign w:val="top"/>
          </w:tcPr>
          <w:p w14:paraId="17265572">
            <w:pPr>
              <w:rPr>
                <w:rFonts w:hint="eastAsia"/>
                <w:vertAlign w:val="baseline"/>
                <w:lang w:val="en-US" w:eastAsia="zh-CN"/>
              </w:rPr>
            </w:pPr>
            <w:r>
              <w:rPr>
                <w:rFonts w:hint="eastAsia"/>
                <w:vertAlign w:val="baseline"/>
                <w:lang w:val="en-US" w:eastAsia="zh-CN"/>
              </w:rPr>
              <w:t>项</w:t>
            </w:r>
          </w:p>
        </w:tc>
      </w:tr>
    </w:tbl>
    <w:p w14:paraId="44185CE3">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val="en-US" w:eastAsia="zh-CN"/>
        </w:rPr>
      </w:pPr>
    </w:p>
    <w:p w14:paraId="250B2591">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kern w:val="0"/>
          <w:sz w:val="21"/>
          <w:szCs w:val="21"/>
        </w:rPr>
      </w:pPr>
      <w:r>
        <w:rPr>
          <w:rFonts w:hint="eastAsia" w:ascii="宋体" w:hAnsi="宋体" w:eastAsia="宋体" w:cs="宋体"/>
          <w:b w:val="0"/>
          <w:bCs/>
          <w:kern w:val="0"/>
          <w:sz w:val="21"/>
          <w:szCs w:val="21"/>
          <w:lang w:val="en-US" w:eastAsia="zh-CN"/>
        </w:rPr>
        <w:t>.项目概况：</w:t>
      </w:r>
      <w:r>
        <w:rPr>
          <w:rFonts w:hint="eastAsia" w:ascii="宋体" w:hAnsi="宋体" w:eastAsia="宋体" w:cs="宋体"/>
          <w:b w:val="0"/>
          <w:bCs/>
          <w:kern w:val="0"/>
          <w:sz w:val="21"/>
          <w:szCs w:val="21"/>
        </w:rPr>
        <w:t>现</w:t>
      </w:r>
      <w:r>
        <w:rPr>
          <w:rFonts w:hint="eastAsia" w:ascii="宋体" w:hAnsi="宋体" w:eastAsia="宋体" w:cs="宋体"/>
          <w:b w:val="0"/>
          <w:bCs/>
          <w:kern w:val="0"/>
          <w:sz w:val="21"/>
          <w:szCs w:val="21"/>
          <w:lang w:eastAsia="zh-CN"/>
        </w:rPr>
        <w:t>北京急救中心在网使用救护车约</w:t>
      </w:r>
      <w:r>
        <w:rPr>
          <w:rFonts w:hint="eastAsia" w:ascii="宋体" w:hAnsi="宋体" w:eastAsia="宋体" w:cs="宋体"/>
          <w:b w:val="0"/>
          <w:bCs/>
          <w:kern w:val="0"/>
          <w:sz w:val="21"/>
          <w:szCs w:val="21"/>
          <w:lang w:val="en-US" w:eastAsia="zh-CN"/>
        </w:rPr>
        <w:t>210</w:t>
      </w:r>
      <w:r>
        <w:rPr>
          <w:rFonts w:hint="eastAsia" w:ascii="宋体" w:hAnsi="宋体" w:eastAsia="宋体" w:cs="宋体"/>
          <w:b w:val="0"/>
          <w:bCs/>
          <w:kern w:val="0"/>
          <w:sz w:val="21"/>
          <w:szCs w:val="21"/>
        </w:rPr>
        <w:t>辆，主要分布于北京市</w:t>
      </w:r>
      <w:r>
        <w:rPr>
          <w:rFonts w:hint="eastAsia" w:ascii="宋体" w:hAnsi="宋体" w:eastAsia="宋体" w:cs="宋体"/>
          <w:b w:val="0"/>
          <w:bCs/>
          <w:kern w:val="0"/>
          <w:sz w:val="21"/>
          <w:szCs w:val="21"/>
          <w:lang w:eastAsia="zh-CN"/>
        </w:rPr>
        <w:t>东城区、</w:t>
      </w:r>
      <w:r>
        <w:rPr>
          <w:rFonts w:hint="eastAsia" w:ascii="宋体" w:hAnsi="宋体" w:eastAsia="宋体" w:cs="宋体"/>
          <w:b w:val="0"/>
          <w:bCs/>
          <w:kern w:val="0"/>
          <w:sz w:val="21"/>
          <w:szCs w:val="21"/>
        </w:rPr>
        <w:t>西城区</w:t>
      </w:r>
      <w:r>
        <w:rPr>
          <w:rFonts w:hint="eastAsia" w:ascii="宋体" w:hAnsi="宋体" w:eastAsia="宋体" w:cs="宋体"/>
          <w:b w:val="0"/>
          <w:bCs/>
          <w:kern w:val="0"/>
          <w:sz w:val="21"/>
          <w:szCs w:val="21"/>
          <w:lang w:eastAsia="zh-CN"/>
        </w:rPr>
        <w:t>、通州区、经开区等</w:t>
      </w:r>
      <w:r>
        <w:rPr>
          <w:rFonts w:hint="eastAsia" w:ascii="宋体" w:hAnsi="宋体" w:eastAsia="宋体" w:cs="宋体"/>
          <w:b w:val="0"/>
          <w:bCs/>
          <w:kern w:val="0"/>
          <w:sz w:val="21"/>
          <w:szCs w:val="21"/>
        </w:rPr>
        <w:t>，车型主要为小</w:t>
      </w:r>
      <w:r>
        <w:rPr>
          <w:rFonts w:hint="eastAsia" w:ascii="宋体" w:hAnsi="宋体" w:eastAsia="宋体" w:cs="宋体"/>
          <w:b w:val="0"/>
          <w:bCs/>
          <w:kern w:val="0"/>
          <w:sz w:val="21"/>
          <w:szCs w:val="21"/>
          <w:lang w:eastAsia="zh-CN"/>
        </w:rPr>
        <w:t>型</w:t>
      </w:r>
      <w:r>
        <w:rPr>
          <w:rFonts w:hint="eastAsia" w:ascii="宋体" w:hAnsi="宋体" w:eastAsia="宋体" w:cs="宋体"/>
          <w:b w:val="0"/>
          <w:bCs/>
          <w:kern w:val="0"/>
          <w:sz w:val="21"/>
          <w:szCs w:val="21"/>
        </w:rPr>
        <w:t>客车，另有部分大型客车</w:t>
      </w:r>
      <w:r>
        <w:rPr>
          <w:rFonts w:hint="eastAsia" w:ascii="宋体" w:hAnsi="宋体" w:eastAsia="宋体" w:cs="宋体"/>
          <w:b w:val="0"/>
          <w:bCs/>
          <w:kern w:val="0"/>
          <w:sz w:val="21"/>
          <w:szCs w:val="21"/>
          <w:lang w:eastAsia="zh-CN"/>
        </w:rPr>
        <w:t>、货车</w:t>
      </w:r>
      <w:r>
        <w:rPr>
          <w:rFonts w:hint="eastAsia" w:ascii="宋体" w:hAnsi="宋体" w:eastAsia="宋体" w:cs="宋体"/>
          <w:b w:val="0"/>
          <w:bCs/>
          <w:kern w:val="0"/>
          <w:sz w:val="21"/>
          <w:szCs w:val="21"/>
        </w:rPr>
        <w:t>。日常汽油需求以92#、95#为主，柴油以 0#、-10#为主。</w:t>
      </w:r>
    </w:p>
    <w:p w14:paraId="1674D5DE">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二、商务要求</w:t>
      </w:r>
    </w:p>
    <w:p w14:paraId="6D0496D5">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1.交付的时间和地点</w:t>
      </w:r>
      <w:r>
        <w:rPr>
          <w:rFonts w:hint="eastAsia" w:ascii="宋体" w:hAnsi="宋体" w:eastAsia="宋体" w:cs="宋体"/>
          <w:b w:val="0"/>
          <w:bCs/>
          <w:kern w:val="0"/>
          <w:sz w:val="21"/>
          <w:szCs w:val="21"/>
          <w:lang w:eastAsia="zh-CN"/>
        </w:rPr>
        <w:t>：自签订合同日期起一年，北京市行政区域内各加油站点</w:t>
      </w:r>
      <w:r>
        <w:rPr>
          <w:rFonts w:hint="eastAsia" w:ascii="宋体" w:hAnsi="宋体" w:eastAsia="宋体" w:cs="宋体"/>
          <w:b w:val="0"/>
          <w:bCs/>
          <w:kern w:val="0"/>
          <w:sz w:val="21"/>
          <w:szCs w:val="21"/>
        </w:rPr>
        <w:t>。</w:t>
      </w:r>
    </w:p>
    <w:p w14:paraId="7DFAB29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2.付款条件：</w:t>
      </w:r>
      <w:r>
        <w:rPr>
          <w:rFonts w:hint="eastAsia" w:ascii="宋体" w:hAnsi="宋体" w:eastAsia="宋体" w:cs="宋体"/>
          <w:b w:val="0"/>
          <w:bCs/>
          <w:kern w:val="0"/>
          <w:sz w:val="21"/>
          <w:szCs w:val="21"/>
          <w:lang w:eastAsia="zh-CN"/>
        </w:rPr>
        <w:t>由采购人根据经费支出情况自行到中标人充值网点办理加油资金存入业务。供货商充值网点在收到采购人存入的加油资金后，即向采购人开具相等金额的正式发票。</w:t>
      </w:r>
    </w:p>
    <w:p w14:paraId="2B93878C">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三、技术要求</w:t>
      </w:r>
    </w:p>
    <w:p w14:paraId="0D3A7CE0">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1. 基本要求</w:t>
      </w:r>
    </w:p>
    <w:p w14:paraId="4C032DF7">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1.1 采购标的需实现的功能或者目标：</w:t>
      </w:r>
    </w:p>
    <w:p w14:paraId="1B71EB79">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供货商</w:t>
      </w:r>
      <w:r>
        <w:rPr>
          <w:rFonts w:hint="eastAsia" w:ascii="宋体" w:hAnsi="宋体" w:eastAsia="宋体" w:cs="宋体"/>
          <w:b w:val="0"/>
          <w:bCs/>
          <w:kern w:val="0"/>
          <w:sz w:val="21"/>
          <w:szCs w:val="21"/>
        </w:rPr>
        <w:t>具有提供全年、每天24小时的加油服务能力，提供的油品须符合相关国家现行质量标准。</w:t>
      </w:r>
    </w:p>
    <w:p w14:paraId="4F20DDAB">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1.2 需执行的国家相关标准、行业标准、地方标准或者其他标准、规范：</w:t>
      </w:r>
    </w:p>
    <w:p w14:paraId="564A1937">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2. 服务内容及要求</w:t>
      </w:r>
    </w:p>
    <w:p w14:paraId="3099B6CB">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2.1采购标的需满足的性能、材料、结构、外观、质量、安全、技术规格、物理特性等要求：</w:t>
      </w:r>
    </w:p>
    <w:p w14:paraId="1451CBA4">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供货商需设置加油副卡权限，禁止持卡提现金或购买其他物品。</w:t>
      </w:r>
    </w:p>
    <w:p w14:paraId="799B29A9">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供货商对加油卡相关信息负有保密责任，未经同意不得向第三方泄露。</w:t>
      </w:r>
    </w:p>
    <w:p w14:paraId="347157D1">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2.2采购标的需满足的服务标准、期限、效率等要求：</w:t>
      </w:r>
    </w:p>
    <w:p w14:paraId="49849912">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须提供承诺函，包含按采购人要求提供加油资金即时生效服务，并提供加油资金即时生效服务站点列表，格式及内容自拟，未响应按无效投标处理。</w:t>
      </w:r>
    </w:p>
    <w:p w14:paraId="4B430800">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提供加油主卡和副卡。日常加油主卡和副卡的卡片新增、挂失补卡和损坏补卡等业务均由中标人指定专人负责统一办理，办理时间不超过24小时。</w:t>
      </w:r>
    </w:p>
    <w:p w14:paraId="3CC12D83">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为采购人购油付款后提供由主卡向副卡分配额度的服务。</w:t>
      </w:r>
    </w:p>
    <w:p w14:paraId="10381727">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供货商按照要求48小时内提供车辆加油的明细信息。</w:t>
      </w:r>
    </w:p>
    <w:p w14:paraId="39A728E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定期将加油报表提供给采购人，包括加油日期、成品油价格及实际支付金额。</w:t>
      </w:r>
    </w:p>
    <w:p w14:paraId="4D413AB4">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2.3为落实政府采购政策需满足的要求：</w:t>
      </w:r>
    </w:p>
    <w:p w14:paraId="371F225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采购人在合同期内享有政府采购优惠与服务不得低于中标人同期对社会车辆提供的所有优惠与服务。</w:t>
      </w:r>
    </w:p>
    <w:p w14:paraId="66B5F81E">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lang w:eastAsia="zh-CN"/>
        </w:rPr>
        <w:t>根据三公经费管理要求，供货商应根据相关政策规定及采购人要求，设定加油卡权限，持有加油卡只能选择卡内限定准许的油品加油，非限定油品不予加油。加油卡内金额及积分的使用，不得用于在加油站开设的便利店购物，或兑换物品等其他非加油项目。如发生违规情况，供货商应负有全部责任。</w:t>
      </w:r>
    </w:p>
    <w:p w14:paraId="4D85A2A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2.4采购标的的其他技术、服务等要求：</w:t>
      </w:r>
    </w:p>
    <w:p w14:paraId="7E8ADE99">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rPr>
        <w:t>加油站</w:t>
      </w:r>
      <w:r>
        <w:rPr>
          <w:rFonts w:hint="eastAsia" w:ascii="宋体" w:hAnsi="宋体" w:eastAsia="宋体" w:cs="宋体"/>
          <w:b w:val="0"/>
          <w:bCs/>
          <w:kern w:val="0"/>
          <w:sz w:val="21"/>
          <w:szCs w:val="21"/>
          <w:lang w:eastAsia="zh-CN"/>
        </w:rPr>
        <w:t>应</w:t>
      </w:r>
      <w:r>
        <w:rPr>
          <w:rFonts w:hint="eastAsia" w:ascii="宋体" w:hAnsi="宋体" w:eastAsia="宋体" w:cs="宋体"/>
          <w:b w:val="0"/>
          <w:bCs/>
          <w:kern w:val="0"/>
          <w:sz w:val="21"/>
          <w:szCs w:val="21"/>
        </w:rPr>
        <w:t>能覆盖北京市各区，满足采购人跨区</w:t>
      </w:r>
      <w:r>
        <w:rPr>
          <w:rFonts w:hint="eastAsia" w:ascii="宋体" w:hAnsi="宋体" w:eastAsia="宋体" w:cs="宋体"/>
          <w:b w:val="0"/>
          <w:bCs/>
          <w:kern w:val="0"/>
          <w:sz w:val="21"/>
          <w:szCs w:val="21"/>
          <w:lang w:eastAsia="zh-CN"/>
        </w:rPr>
        <w:t>工作</w:t>
      </w:r>
      <w:r>
        <w:rPr>
          <w:rFonts w:hint="eastAsia" w:ascii="宋体" w:hAnsi="宋体" w:eastAsia="宋体" w:cs="宋体"/>
          <w:b w:val="0"/>
          <w:bCs/>
          <w:kern w:val="0"/>
          <w:sz w:val="21"/>
          <w:szCs w:val="21"/>
        </w:rPr>
        <w:t>需求，并为采购人提供定点加油手册和加油点分布图</w:t>
      </w:r>
      <w:r>
        <w:rPr>
          <w:rFonts w:hint="eastAsia" w:ascii="宋体" w:hAnsi="宋体" w:eastAsia="宋体" w:cs="宋体"/>
          <w:b w:val="0"/>
          <w:bCs/>
          <w:kern w:val="0"/>
          <w:sz w:val="21"/>
          <w:szCs w:val="21"/>
          <w:lang w:eastAsia="zh-CN"/>
        </w:rPr>
        <w:t>。</w:t>
      </w:r>
    </w:p>
    <w:p w14:paraId="0A6AB249">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救护车加油数据管理工作应由投标人指定专人负责，如指定专人有任何相关信息变更，应及时（24小时以内）书面告知采购人，并提供报送车辆加油信息的承诺函。（格式及内容自拟）</w:t>
      </w:r>
    </w:p>
    <w:p w14:paraId="69384150">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加强对员工的日常培训和管理，并针对本项目提供培训计划、培训方案等；同时严格执行车、卡信息一致的一车一卡加油制度，在为采购人的救护车加油时，加油员应确认加油卡信息与车号一致，方可加油；否则不予加油。如发生为加油副卡限定的救护车以外的其他车辆加油，由投标方负违法违纪相关责任。</w:t>
      </w:r>
    </w:p>
    <w:p w14:paraId="25DDD7DC">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2.5需由供应商提供设计方案、解决方案或者组织方案的采购项目，应当说明采购标的的功能、应用场景、目标等基本要求：</w:t>
      </w:r>
    </w:p>
    <w:p w14:paraId="2EBA963F">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须提供承诺函，包含若中标将提供要的业务设备及人员培训内容，格式及内容自拟，未响应按无效投标处理。</w:t>
      </w:r>
    </w:p>
    <w:p w14:paraId="7119F453">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采购人定期根据使用量进行充值成交，供应商不得外包。如发现供应商有外包行为，采购人有权终止合同。</w:t>
      </w:r>
    </w:p>
    <w:p w14:paraId="167D7E15">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3. 验收标准</w:t>
      </w:r>
    </w:p>
    <w:p w14:paraId="634D350E">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eastAsia="zh-CN"/>
        </w:rPr>
        <w:t>供货商需提供油品质量的检验情况，出具由国家认可的检测机构出具的油品检验报告。同时提供加油网点加油设备的检测情况，保证加油设备的正常运行。</w:t>
      </w:r>
    </w:p>
    <w:p w14:paraId="70DE64A1">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420" w:firstLineChars="200"/>
        <w:jc w:val="left"/>
        <w:textAlignment w:val="baseline"/>
        <w:rPr>
          <w:rFonts w:hint="default" w:ascii="宋体" w:hAnsi="宋体" w:eastAsia="宋体" w:cs="宋体"/>
          <w:b w:val="0"/>
          <w:bCs/>
          <w:kern w:val="0"/>
          <w:sz w:val="21"/>
          <w:szCs w:val="21"/>
          <w:lang w:val="en-US" w:eastAsia="zh-CN"/>
        </w:rPr>
      </w:pPr>
      <w:r>
        <w:rPr>
          <w:rFonts w:hint="default" w:ascii="宋体" w:hAnsi="宋体" w:eastAsia="宋体" w:cs="宋体"/>
          <w:b w:val="0"/>
          <w:bCs/>
          <w:kern w:val="0"/>
          <w:sz w:val="21"/>
          <w:szCs w:val="21"/>
          <w:lang w:val="en-US" w:eastAsia="zh-CN"/>
        </w:rPr>
        <w:t>4. 其他要求</w:t>
      </w:r>
    </w:p>
    <w:p w14:paraId="412B352F">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4.1</w:t>
      </w:r>
      <w:r>
        <w:rPr>
          <w:rFonts w:hint="eastAsia" w:ascii="宋体" w:hAnsi="宋体" w:eastAsia="宋体" w:cs="宋体"/>
          <w:b w:val="0"/>
          <w:bCs/>
          <w:kern w:val="0"/>
          <w:sz w:val="21"/>
          <w:szCs w:val="21"/>
          <w:lang w:eastAsia="zh-CN"/>
        </w:rPr>
        <w:t xml:space="preserve">可定期或不定期提供所有加油卡充值交易明细记录。     </w:t>
      </w:r>
    </w:p>
    <w:p w14:paraId="2997A3A9">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4.2</w:t>
      </w:r>
      <w:r>
        <w:rPr>
          <w:rFonts w:hint="eastAsia" w:ascii="宋体" w:hAnsi="宋体" w:eastAsia="宋体" w:cs="宋体"/>
          <w:b w:val="0"/>
          <w:bCs/>
          <w:kern w:val="0"/>
          <w:sz w:val="21"/>
          <w:szCs w:val="21"/>
          <w:lang w:eastAsia="zh-CN"/>
        </w:rPr>
        <w:t xml:space="preserve">提供加油卡的充值与预分配服务。        </w:t>
      </w:r>
    </w:p>
    <w:p w14:paraId="0E58263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4.3</w:t>
      </w:r>
      <w:r>
        <w:rPr>
          <w:rFonts w:hint="eastAsia" w:ascii="宋体" w:hAnsi="宋体" w:eastAsia="宋体" w:cs="宋体"/>
          <w:b w:val="0"/>
          <w:bCs/>
          <w:kern w:val="0"/>
          <w:sz w:val="21"/>
          <w:szCs w:val="21"/>
          <w:lang w:eastAsia="zh-CN"/>
        </w:rPr>
        <w:t xml:space="preserve">不分季节24小时提供全油品服务。        </w:t>
      </w:r>
    </w:p>
    <w:p w14:paraId="76CC310F">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4.4</w:t>
      </w:r>
      <w:r>
        <w:rPr>
          <w:rFonts w:hint="eastAsia" w:ascii="宋体" w:hAnsi="宋体" w:eastAsia="宋体" w:cs="宋体"/>
          <w:b w:val="0"/>
          <w:bCs/>
          <w:kern w:val="0"/>
          <w:sz w:val="21"/>
          <w:szCs w:val="21"/>
          <w:lang w:eastAsia="zh-CN"/>
        </w:rPr>
        <w:t xml:space="preserve">油库24小时供油，有健全的安全应急保障。            </w:t>
      </w:r>
    </w:p>
    <w:p w14:paraId="72366226">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4.5</w:t>
      </w:r>
      <w:r>
        <w:rPr>
          <w:rFonts w:hint="eastAsia" w:ascii="宋体" w:hAnsi="宋体" w:eastAsia="宋体" w:cs="宋体"/>
          <w:b w:val="0"/>
          <w:bCs/>
          <w:kern w:val="0"/>
          <w:sz w:val="21"/>
          <w:szCs w:val="21"/>
          <w:lang w:eastAsia="zh-CN"/>
        </w:rPr>
        <w:t>可根据客户要求提供协管服务，对所持加油卡选择相关服务项目，如限车号、限油品等，并提供密码设置和密码解锁服务。</w:t>
      </w:r>
    </w:p>
    <w:p w14:paraId="6F7E6987">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4.6</w:t>
      </w:r>
      <w:r>
        <w:rPr>
          <w:rFonts w:hint="eastAsia" w:ascii="宋体" w:hAnsi="宋体" w:eastAsia="宋体" w:cs="宋体"/>
          <w:b w:val="0"/>
          <w:bCs/>
          <w:kern w:val="0"/>
          <w:sz w:val="21"/>
          <w:szCs w:val="21"/>
          <w:lang w:eastAsia="zh-CN"/>
        </w:rPr>
        <w:t>按采购人要求提供加油资金即时生效服务。</w:t>
      </w:r>
    </w:p>
    <w:p w14:paraId="7486C38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jc w:val="left"/>
        <w:textAlignment w:val="baseline"/>
        <w:rPr>
          <w:rFonts w:hint="eastAsia" w:ascii="宋体" w:hAnsi="宋体" w:eastAsia="宋体" w:cs="宋体"/>
          <w:b w:val="0"/>
          <w:bCs/>
          <w:kern w:val="0"/>
          <w:sz w:val="21"/>
          <w:szCs w:val="21"/>
          <w:lang w:eastAsia="zh-CN"/>
        </w:rPr>
      </w:pPr>
      <w:r>
        <w:rPr>
          <w:rFonts w:hint="eastAsia" w:ascii="宋体" w:hAnsi="宋体" w:eastAsia="宋体" w:cs="宋体"/>
          <w:b w:val="0"/>
          <w:bCs/>
          <w:kern w:val="0"/>
          <w:sz w:val="21"/>
          <w:szCs w:val="21"/>
          <w:lang w:val="en-US" w:eastAsia="zh-CN"/>
        </w:rPr>
        <w:t>4.7</w:t>
      </w:r>
      <w:r>
        <w:rPr>
          <w:rFonts w:hint="eastAsia" w:ascii="宋体" w:hAnsi="宋体" w:eastAsia="宋体" w:cs="宋体"/>
          <w:b w:val="0"/>
          <w:bCs/>
          <w:kern w:val="0"/>
          <w:sz w:val="21"/>
          <w:szCs w:val="21"/>
          <w:lang w:eastAsia="zh-CN"/>
        </w:rPr>
        <w:t>合同条款：详见后附《政府采购合同》范本</w:t>
      </w:r>
    </w:p>
    <w:p w14:paraId="7A752D0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E52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2026-02-12T00:36:02Z</dcterms:created>
  <dc:creator>李政豪</dc:creator>
  <cp:lastModifiedBy>10674</cp:lastModifiedBy>
  <dcterms:modified xsi:type="dcterms:W3CDTF">2026-02-12T00:36:07Z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eyJoZGlkIjoiOGEzYzEwZDg1MmJiMTZmZDU4ZmQ5ODY5MmY1YTA1YzUiLCJ1c2VySWQiOiI2Njg3MjQ3MTEifQ==</vt:lpwstr>
  </property>
  <property fmtid="{D5CDD505-2E9C-101B-9397-08002B2CF9AE}" pid="4" name="ICV">
    <vt:lpwstr>F66DDAE8C05B41E3BFA0D849CDD9844E_12</vt:lpwstr>
  </property>
</Properties>
</file>